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java多线程实战之设计模式</w:t>
      </w:r>
    </w:p>
    <w:p/>
    <w:p>
      <w:pPr>
        <w:pStyle w:val="2"/>
      </w:pPr>
      <w:r>
        <w:t>第一章 Java多线程基础</w:t>
      </w:r>
    </w:p>
    <w:p>
      <w:pPr>
        <w:pStyle w:val="3"/>
      </w:pPr>
      <w:r>
        <w:t>1.1 无处不在的线程</w:t>
      </w:r>
    </w:p>
    <w:p>
      <w:r>
        <w:drawing>
          <wp:inline distT="0" distB="0" distL="114300" distR="114300">
            <wp:extent cx="5271135" cy="1144905"/>
            <wp:effectExtent l="0" t="0" r="12065" b="234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1.2 线程的创建于销毁</w:t>
      </w:r>
    </w:p>
    <w:p>
      <w:r>
        <w:drawing>
          <wp:inline distT="0" distB="0" distL="114300" distR="114300">
            <wp:extent cx="5266690" cy="3587115"/>
            <wp:effectExtent l="0" t="0" r="16510" b="196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67754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t>1.3 线程的状态与上线文切换</w:t>
      </w:r>
    </w:p>
    <w:p/>
    <w:p>
      <w:r>
        <w:drawing>
          <wp:inline distT="0" distB="0" distL="114300" distR="114300">
            <wp:extent cx="5273675" cy="3314700"/>
            <wp:effectExtent l="0" t="0" r="952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604010"/>
            <wp:effectExtent l="0" t="0" r="15875" b="215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19730"/>
            <wp:effectExtent l="0" t="0" r="1651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上下文切换</w:t>
      </w:r>
    </w:p>
    <w:p>
      <w:r>
        <w:drawing>
          <wp:inline distT="0" distB="0" distL="114300" distR="114300">
            <wp:extent cx="5267960" cy="1243965"/>
            <wp:effectExtent l="0" t="0" r="152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64820"/>
            <wp:effectExtent l="0" t="0" r="1714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1.4 线程的监视</w:t>
      </w:r>
    </w:p>
    <w:p>
      <w:r>
        <w:drawing>
          <wp:inline distT="0" distB="0" distL="114300" distR="114300">
            <wp:extent cx="5268595" cy="2131060"/>
            <wp:effectExtent l="0" t="0" r="1460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t>1.5 原子性、内存可见性和重排序</w:t>
      </w:r>
    </w:p>
    <w:p/>
    <w:p>
      <w:r>
        <w:t>内存可见性：</w:t>
      </w:r>
    </w:p>
    <w:p>
      <w:r>
        <w:drawing>
          <wp:inline distT="0" distB="0" distL="114300" distR="114300">
            <wp:extent cx="5272405" cy="1507490"/>
            <wp:effectExtent l="0" t="0" r="1079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synchronized保证了原子性和内存可见性</w:t>
      </w:r>
    </w:p>
    <w:p/>
    <w:p>
      <w:r>
        <w:drawing>
          <wp:inline distT="0" distB="0" distL="114300" distR="114300">
            <wp:extent cx="5274310" cy="3088640"/>
            <wp:effectExtent l="0" t="0" r="889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89225"/>
            <wp:effectExtent l="0" t="0" r="1397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volitale保证内存可见性和禁止指令重排序</w:t>
      </w:r>
    </w:p>
    <w:p/>
    <w:p>
      <w:pPr>
        <w:pStyle w:val="3"/>
      </w:pPr>
      <w:r>
        <w:t>1.6 线程的优势和风险</w:t>
      </w:r>
    </w:p>
    <w:p>
      <w:r>
        <w:t>优势：</w:t>
      </w:r>
    </w:p>
    <w:p>
      <w:pPr>
        <w:numPr>
          <w:ilvl w:val="0"/>
          <w:numId w:val="1"/>
        </w:numPr>
      </w:pPr>
      <w:r>
        <w:t>提高系统的吞吐率</w:t>
      </w:r>
    </w:p>
    <w:p>
      <w:pPr>
        <w:numPr>
          <w:ilvl w:val="0"/>
          <w:numId w:val="1"/>
        </w:numPr>
      </w:pPr>
      <w:r>
        <w:t>提高响应性</w:t>
      </w:r>
    </w:p>
    <w:p>
      <w:pPr>
        <w:numPr>
          <w:ilvl w:val="0"/>
          <w:numId w:val="1"/>
        </w:numPr>
      </w:pPr>
      <w:r>
        <w:t>充分利用多个CPU资源</w:t>
      </w:r>
    </w:p>
    <w:p>
      <w:pPr>
        <w:numPr>
          <w:ilvl w:val="0"/>
          <w:numId w:val="1"/>
        </w:numPr>
      </w:pPr>
      <w:r>
        <w:t>最小化对系统资源的使用</w:t>
      </w:r>
    </w:p>
    <w:p>
      <w:pPr>
        <w:numPr>
          <w:ilvl w:val="0"/>
          <w:numId w:val="1"/>
        </w:numPr>
      </w:pPr>
      <w:r>
        <w:t>简化程序的机构</w:t>
      </w:r>
    </w:p>
    <w:p>
      <w:pPr>
        <w:numPr>
          <w:ilvl w:val="0"/>
          <w:numId w:val="0"/>
        </w:numPr>
      </w:pPr>
      <w:r>
        <w:t>风险：</w:t>
      </w:r>
    </w:p>
    <w:p>
      <w:pPr>
        <w:numPr>
          <w:ilvl w:val="0"/>
          <w:numId w:val="2"/>
        </w:numPr>
      </w:pPr>
      <w:r>
        <w:t>线程安全问题</w:t>
      </w:r>
    </w:p>
    <w:p>
      <w:pPr>
        <w:numPr>
          <w:ilvl w:val="0"/>
          <w:numId w:val="2"/>
        </w:numPr>
      </w:pPr>
      <w:r>
        <w:t>线程的生命特征问题</w:t>
      </w:r>
    </w:p>
    <w:p>
      <w:pPr>
        <w:numPr>
          <w:ilvl w:val="0"/>
          <w:numId w:val="2"/>
        </w:numPr>
      </w:pPr>
      <w:r>
        <w:t>上下文切换</w:t>
      </w:r>
    </w:p>
    <w:p>
      <w:pPr>
        <w:numPr>
          <w:ilvl w:val="0"/>
          <w:numId w:val="2"/>
        </w:numPr>
      </w:pPr>
      <w:r>
        <w:t>可靠性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numPr>
          <w:ilvl w:val="0"/>
          <w:numId w:val="3"/>
        </w:numPr>
      </w:pPr>
      <w:r>
        <w:t>设计模式及其作用</w:t>
      </w:r>
    </w:p>
    <w:p>
      <w:pPr>
        <w:pStyle w:val="2"/>
        <w:numPr>
          <w:ilvl w:val="0"/>
          <w:numId w:val="3"/>
        </w:numPr>
      </w:pPr>
      <w:r>
        <w:t>Immutable Object(不可变对象)模式</w:t>
      </w:r>
    </w:p>
    <w:p/>
    <w:p>
      <w:r>
        <w:drawing>
          <wp:inline distT="0" distB="0" distL="114300" distR="114300">
            <wp:extent cx="5273675" cy="2484755"/>
            <wp:effectExtent l="0" t="0" r="9525" b="444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528060"/>
            <wp:effectExtent l="0" t="0" r="10160" b="254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536065"/>
            <wp:effectExtent l="0" t="0" r="10160" b="133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3"/>
        </w:numPr>
      </w:pPr>
      <w:r>
        <w:t>Guarded Suspension(保护性暂挂)模式</w:t>
      </w:r>
    </w:p>
    <w:p>
      <w:r>
        <w:drawing>
          <wp:inline distT="0" distB="0" distL="114300" distR="114300">
            <wp:extent cx="5265420" cy="2383790"/>
            <wp:effectExtent l="0" t="0" r="17780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58975"/>
            <wp:effectExtent l="0" t="0" r="13335" b="2222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06905"/>
            <wp:effectExtent l="0" t="0" r="18415" b="2349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0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298065"/>
            <wp:effectExtent l="0" t="0" r="17145" b="1333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4027805"/>
            <wp:effectExtent l="0" t="0" r="15240" b="1079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3109595"/>
            <wp:effectExtent l="0" t="0" r="17780" b="146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0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543935"/>
            <wp:effectExtent l="0" t="0" r="10160" b="1206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4.3 Guarded Suspension模式实战案例解析</w:t>
      </w:r>
    </w:p>
    <w:p>
      <w:pPr>
        <w:pStyle w:val="3"/>
      </w:pPr>
      <w:r>
        <w:t>4.4 模式评价和考量</w:t>
      </w:r>
    </w:p>
    <w:p>
      <w:r>
        <w:t>内存可见性和锁泄漏</w:t>
      </w:r>
    </w:p>
    <w:p>
      <w:r>
        <w:t>线程过早被唤醒</w:t>
      </w:r>
    </w:p>
    <w:p>
      <w:r>
        <w:t>嵌套监视器锁死</w:t>
      </w:r>
    </w:p>
    <w:p/>
    <w:p/>
    <w:p>
      <w:pPr>
        <w:pStyle w:val="2"/>
        <w:numPr>
          <w:ilvl w:val="0"/>
          <w:numId w:val="3"/>
        </w:numPr>
      </w:pPr>
      <w:r>
        <w:t>Two-phase Termination(两阶段终止模式)</w:t>
      </w:r>
    </w:p>
    <w:p/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542925"/>
            <wp:effectExtent l="0" t="0" r="15875" b="1587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/>
    <w:p>
      <w:pPr>
        <w:pStyle w:val="3"/>
      </w:pPr>
      <w:r>
        <w:t>5.2 Two-phase Termination 模式的架构</w:t>
      </w:r>
    </w:p>
    <w:p>
      <w:r>
        <w:drawing>
          <wp:inline distT="0" distB="0" distL="114300" distR="114300">
            <wp:extent cx="5267960" cy="2837815"/>
            <wp:effectExtent l="0" t="0" r="15240" b="698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470785"/>
            <wp:effectExtent l="0" t="0" r="16510" b="1841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625090"/>
            <wp:effectExtent l="0" t="0" r="16510" b="1651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numPr>
          <w:ilvl w:val="0"/>
          <w:numId w:val="3"/>
        </w:numPr>
      </w:pPr>
      <w:r>
        <w:t>Promise(承诺模式)</w:t>
      </w:r>
    </w:p>
    <w:p>
      <w:pPr>
        <w:pStyle w:val="2"/>
        <w:numPr>
          <w:ilvl w:val="0"/>
          <w:numId w:val="3"/>
        </w:numPr>
      </w:pPr>
      <w:r>
        <w:t>Pr</w:t>
      </w:r>
      <w:r>
        <w:t>oducer-Consumer(生产者/消费者)</w:t>
      </w:r>
    </w:p>
    <w:p>
      <w:pPr>
        <w:pStyle w:val="2"/>
        <w:numPr>
          <w:ilvl w:val="0"/>
          <w:numId w:val="3"/>
        </w:numPr>
      </w:pPr>
      <w:r>
        <w:t>Active Object （主动对象）模式</w:t>
      </w:r>
    </w:p>
    <w:p>
      <w:r>
        <w:drawing>
          <wp:inline distT="0" distB="0" distL="114300" distR="114300">
            <wp:extent cx="5267960" cy="2591435"/>
            <wp:effectExtent l="0" t="0" r="15240" b="2476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5864860"/>
            <wp:effectExtent l="0" t="0" r="15875" b="254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6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418840"/>
            <wp:effectExtent l="0" t="0" r="9525" b="1016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797560"/>
            <wp:effectExtent l="0" t="0" r="17145" b="1524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8.4.3 缓冲区饱和处理策略</w:t>
      </w:r>
    </w:p>
    <w:p/>
    <w:p>
      <w:r>
        <w:drawing>
          <wp:inline distT="0" distB="0" distL="114300" distR="114300">
            <wp:extent cx="5272405" cy="1539240"/>
            <wp:effectExtent l="0" t="0" r="10795" b="1016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pStyle w:val="2"/>
        <w:numPr>
          <w:ilvl w:val="0"/>
          <w:numId w:val="3"/>
        </w:numPr>
      </w:pPr>
      <w:r>
        <w:t>Thread Pool(线程池)模式</w:t>
      </w:r>
    </w:p>
    <w:p/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8005"/>
            <wp:effectExtent l="0" t="0" r="12065" b="1079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649855"/>
            <wp:effectExtent l="0" t="0" r="15875" b="1714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794125"/>
            <wp:effectExtent l="0" t="0" r="9525" b="1587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364740"/>
            <wp:effectExtent l="0" t="0" r="15875" b="228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好处：</w:t>
      </w:r>
    </w:p>
    <w:p>
      <w:pPr>
        <w:widowControl w:val="0"/>
        <w:numPr>
          <w:ilvl w:val="0"/>
          <w:numId w:val="4"/>
        </w:numPr>
        <w:jc w:val="both"/>
      </w:pPr>
      <w:r>
        <w:t>抵消线程创建的开销，提高响应性</w:t>
      </w:r>
    </w:p>
    <w:p>
      <w:pPr>
        <w:widowControl w:val="0"/>
        <w:numPr>
          <w:ilvl w:val="0"/>
          <w:numId w:val="4"/>
        </w:numPr>
        <w:jc w:val="both"/>
      </w:pPr>
      <w:r>
        <w:t>封装了工作者线程声明周期管理</w:t>
      </w:r>
    </w:p>
    <w:p>
      <w:pPr>
        <w:widowControl w:val="0"/>
        <w:numPr>
          <w:ilvl w:val="0"/>
          <w:numId w:val="4"/>
        </w:numPr>
        <w:jc w:val="both"/>
      </w:pPr>
      <w:r>
        <w:t>减少销毁线程的开销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022350"/>
            <wp:effectExtent l="0" t="0" r="10795" b="1905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1539875"/>
            <wp:effectExtent l="0" t="0" r="15240" b="952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3782060"/>
            <wp:effectExtent l="0" t="0" r="8890" b="254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9.4.4 线程泄漏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049780"/>
            <wp:effectExtent l="0" t="0" r="9525" b="762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9.4.</w:t>
      </w:r>
      <w:r>
        <w:t>5</w:t>
      </w:r>
      <w:r>
        <w:t xml:space="preserve"> </w:t>
      </w:r>
      <w:r>
        <w:t>可靠性与线程池饱和处理策略</w:t>
      </w:r>
    </w:p>
    <w:p/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4325620"/>
            <wp:effectExtent l="0" t="0" r="13970" b="1778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5371465"/>
            <wp:effectExtent l="0" t="0" r="10795" b="133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7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pStyle w:val="2"/>
        <w:numPr>
          <w:ilvl w:val="0"/>
          <w:numId w:val="3"/>
        </w:numPr>
      </w:pPr>
      <w:r>
        <w:t>线程特有存储模式</w:t>
      </w:r>
    </w:p>
    <w:p>
      <w:pPr>
        <w:pStyle w:val="3"/>
      </w:pPr>
      <w:r>
        <w:t>10.2 Thread Specific Storage模式的架构</w:t>
      </w:r>
    </w:p>
    <w:p/>
    <w:p>
      <w:r>
        <w:drawing>
          <wp:inline distT="0" distB="0" distL="114300" distR="114300">
            <wp:extent cx="5273675" cy="2153920"/>
            <wp:effectExtent l="0" t="0" r="9525" b="508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4998720"/>
            <wp:effectExtent l="0" t="0" r="15240" b="508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5097145"/>
            <wp:effectExtent l="0" t="0" r="9525" b="825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9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10.4 评价</w:t>
      </w:r>
    </w:p>
    <w:p>
      <w:pPr>
        <w:pStyle w:val="4"/>
      </w:pPr>
      <w:r>
        <w:t>10.4.2 内存泄漏与伪内存泄漏</w:t>
      </w:r>
    </w:p>
    <w:p>
      <w:r>
        <w:drawing>
          <wp:inline distT="0" distB="0" distL="114300" distR="114300">
            <wp:extent cx="5274310" cy="675005"/>
            <wp:effectExtent l="0" t="0" r="8890" b="1079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42975"/>
            <wp:effectExtent l="0" t="0" r="15875" b="2222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3"/>
        </w:numPr>
      </w:pPr>
      <w:r>
        <w:t>Serial Thread Confinement(串行线程封闭)模式</w:t>
      </w:r>
    </w:p>
    <w:p/>
    <w:p>
      <w:pPr>
        <w:pStyle w:val="3"/>
      </w:pPr>
      <w:r>
        <w:t>11.2 模式架构</w:t>
      </w:r>
    </w:p>
    <w:p>
      <w:r>
        <w:drawing>
          <wp:inline distT="0" distB="0" distL="114300" distR="114300">
            <wp:extent cx="5271770" cy="3103245"/>
            <wp:effectExtent l="0" t="0" r="11430" b="20955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5688330"/>
            <wp:effectExtent l="0" t="0" r="15240" b="127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5552440"/>
            <wp:effectExtent l="0" t="0" r="15240" b="1016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5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FC9304"/>
    <w:multiLevelType w:val="singleLevel"/>
    <w:tmpl w:val="5DFC9304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DFC9343"/>
    <w:multiLevelType w:val="singleLevel"/>
    <w:tmpl w:val="5DFC9343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DFF0883"/>
    <w:multiLevelType w:val="singleLevel"/>
    <w:tmpl w:val="5DFF0883"/>
    <w:lvl w:ilvl="0" w:tentative="0">
      <w:start w:val="2"/>
      <w:numFmt w:val="chineseCounting"/>
      <w:suff w:val="space"/>
      <w:lvlText w:val="第%1章"/>
      <w:lvlJc w:val="left"/>
    </w:lvl>
  </w:abstractNum>
  <w:abstractNum w:abstractNumId="3">
    <w:nsid w:val="5E018022"/>
    <w:multiLevelType w:val="singleLevel"/>
    <w:tmpl w:val="5E018022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6F1CE9"/>
    <w:rsid w:val="1AFBC185"/>
    <w:rsid w:val="2F7E4CCD"/>
    <w:rsid w:val="377FACEA"/>
    <w:rsid w:val="3AD503E6"/>
    <w:rsid w:val="3B7F725D"/>
    <w:rsid w:val="3E7F2D2E"/>
    <w:rsid w:val="3ECC7CEF"/>
    <w:rsid w:val="3EF5572C"/>
    <w:rsid w:val="3F2FF19F"/>
    <w:rsid w:val="3FB32B04"/>
    <w:rsid w:val="63FB6F9E"/>
    <w:rsid w:val="66FD7869"/>
    <w:rsid w:val="67661D7A"/>
    <w:rsid w:val="6BEF8326"/>
    <w:rsid w:val="6D9D5855"/>
    <w:rsid w:val="6FA5B4ED"/>
    <w:rsid w:val="73EBD14E"/>
    <w:rsid w:val="7BFDC76A"/>
    <w:rsid w:val="7BFF0AD2"/>
    <w:rsid w:val="7C6F9B99"/>
    <w:rsid w:val="7DFE9DAB"/>
    <w:rsid w:val="7DFF3FC6"/>
    <w:rsid w:val="7ED30028"/>
    <w:rsid w:val="7F7BC00B"/>
    <w:rsid w:val="7F96C6B4"/>
    <w:rsid w:val="7FFA4F49"/>
    <w:rsid w:val="7FFB446D"/>
    <w:rsid w:val="9ED73787"/>
    <w:rsid w:val="AEFFA49A"/>
    <w:rsid w:val="BAFC5FE0"/>
    <w:rsid w:val="BF153057"/>
    <w:rsid w:val="BF667576"/>
    <w:rsid w:val="BFB3DA19"/>
    <w:rsid w:val="BFE712E2"/>
    <w:rsid w:val="CD3F6B69"/>
    <w:rsid w:val="CF3D4AC1"/>
    <w:rsid w:val="D3F3D4AD"/>
    <w:rsid w:val="D79FF2A3"/>
    <w:rsid w:val="DBB36EB6"/>
    <w:rsid w:val="DEDF92D3"/>
    <w:rsid w:val="DEF7ACC1"/>
    <w:rsid w:val="DF0E3D58"/>
    <w:rsid w:val="DF77CC7E"/>
    <w:rsid w:val="E75C7122"/>
    <w:rsid w:val="EBFEDEEC"/>
    <w:rsid w:val="EDE834DE"/>
    <w:rsid w:val="EDEF9F9C"/>
    <w:rsid w:val="EE6F1AED"/>
    <w:rsid w:val="F2FF8D78"/>
    <w:rsid w:val="F6B219E4"/>
    <w:rsid w:val="F7F7B8FC"/>
    <w:rsid w:val="F9F9A09E"/>
    <w:rsid w:val="FAFD2DB4"/>
    <w:rsid w:val="FBCE6E8D"/>
    <w:rsid w:val="FBFFBECA"/>
    <w:rsid w:val="FD7F626D"/>
    <w:rsid w:val="FDDF2257"/>
    <w:rsid w:val="FFDC9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2019-12-21T16:31:00Z</dcterms:created>
  <dc:creator>Data</dc:creator>
  <cp:lastModifiedBy>amao</cp:lastModifiedBy>
  <dcterms:modified xsi:type="dcterms:W3CDTF">2019-12-24T14:37:36Z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